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28" w:rsidRPr="00A44828" w:rsidRDefault="00F86328" w:rsidP="00F863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1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T. Гриц, В. Тренин, М. Никитин.</w:t>
      </w:r>
      <w:r w:rsidRPr="005341FC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 – </w:t>
      </w:r>
      <w:r w:rsidRPr="005341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«Словесность и коммерция». (Книжная лавка А. Ф</w:t>
      </w:r>
      <w:r w:rsidRPr="005341FC">
        <w:rPr>
          <w:rFonts w:ascii="Times New Roman" w:eastAsia="Calibri" w:hAnsi="Times New Roman" w:cs="Times New Roman"/>
          <w:b/>
          <w:sz w:val="28"/>
          <w:szCs w:val="28"/>
        </w:rPr>
        <w:t>. См</w:t>
      </w:r>
      <w:r w:rsidRPr="005341F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ирдина).</w:t>
      </w:r>
      <w:r w:rsidRPr="00A4482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44828">
        <w:rPr>
          <w:rFonts w:ascii="Times New Roman" w:eastAsia="Calibri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4828">
        <w:rPr>
          <w:rFonts w:ascii="Times New Roman" w:eastAsia="Calibri" w:hAnsi="Times New Roman" w:cs="Times New Roman"/>
          <w:color w:val="000000"/>
          <w:sz w:val="28"/>
          <w:szCs w:val="28"/>
        </w:rPr>
        <w:t>редакцией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4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В. Б. Шкловского и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44828">
        <w:rPr>
          <w:rFonts w:ascii="Times New Roman" w:eastAsia="Calibri" w:hAnsi="Times New Roman" w:cs="Times New Roman"/>
          <w:color w:val="000000"/>
          <w:sz w:val="28"/>
          <w:szCs w:val="28"/>
        </w:rPr>
        <w:t>Б. М. Эйх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</w:t>
      </w:r>
      <w:r w:rsidRPr="00A44828">
        <w:rPr>
          <w:rFonts w:ascii="Times New Roman" w:eastAsia="Calibri" w:hAnsi="Times New Roman" w:cs="Times New Roman"/>
          <w:color w:val="000000"/>
          <w:sz w:val="28"/>
          <w:szCs w:val="28"/>
        </w:rPr>
        <w:t>баума.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</w:t>
      </w:r>
      <w:r w:rsidRPr="00A44828">
        <w:rPr>
          <w:rFonts w:ascii="Times New Roman" w:eastAsia="Calibri" w:hAnsi="Times New Roman" w:cs="Times New Roman"/>
          <w:color w:val="000000"/>
          <w:sz w:val="28"/>
          <w:szCs w:val="28"/>
        </w:rPr>
        <w:t>д. «Федерация» M. Стр. 373.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Ц. </w:t>
      </w:r>
      <w:r w:rsidRPr="00A448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руб</w:t>
      </w:r>
      <w:r w:rsidRPr="00A44828">
        <w:rPr>
          <w:rFonts w:ascii="Times New Roman" w:eastAsia="Calibri" w:hAnsi="Times New Roman" w:cs="Times New Roman"/>
          <w:color w:val="000000"/>
          <w:sz w:val="28"/>
          <w:szCs w:val="28"/>
        </w:rPr>
        <w:t>. 25 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п.</w:t>
      </w:r>
    </w:p>
    <w:p w:rsidR="00F86328" w:rsidRDefault="00F86328" w:rsidP="00F863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Тема и даже самое заглавие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иги,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оказывается, не новы. </w:t>
      </w:r>
      <w:proofErr w:type="gramStart"/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Еще в 1835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проф. Шевырев поместил в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Московском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наблюдателе» статью под заг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лавием «Словесность и торговля», в ко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торой вскрыл «торговое направление»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современной ему словесности с так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четкостью и обстоятельностью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авторам нашей книги, говоря 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той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эпохе, нечего было прибавить от себя,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а 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тавалось лишь обильно цитировать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статью Шевырева и отклики</w:t>
      </w:r>
      <w:r>
        <w:rPr>
          <w:rFonts w:ascii="Calibri" w:eastAsia="Calibri" w:hAnsi="Calibri" w:hint="eastAsia"/>
          <w:color w:val="000000"/>
          <w:sz w:val="35"/>
        </w:rPr>
        <w:t xml:space="preserve">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нее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тогдашней журналистике (стр. 279-297).</w:t>
      </w:r>
      <w:proofErr w:type="gramEnd"/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Книга вообще сделана в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лю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бленном у формалистов жанре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«лит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монтажа», являясь чем-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 в роде свод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ки св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идетельств современников о книж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ной торговле в России в XVIII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 </w:t>
      </w:r>
      <w:proofErr w:type="gramStart"/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первой половине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XIX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века.</w:t>
      </w:r>
    </w:p>
    <w:p w:rsidR="00F86328" w:rsidRDefault="00F86328" w:rsidP="00F863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Такая сводка, вообще говоря, была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бы очень полезна, но рецензируемая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книг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 лишь похожа на сводку: для на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ящей сводки по указанному вопро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она очень неполна (есть Смирдин,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 отсутствуют или почти отсу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тству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ют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Глазуновы, Слени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, Плюшар и др.),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загр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омождена посторонним материало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ессистемна (о чем ниже), а главное –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ервалы из разных ис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ков заполнены не науч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но-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ловым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нтариями, а безответственным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одчас маловразумительным разгла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гольствованием</w:t>
      </w:r>
      <w:proofErr w:type="gramEnd"/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формалистском жар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гоне,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помогающем, а – напротив –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шающем читателю осмыслить цитат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ный материал.</w:t>
      </w:r>
    </w:p>
    <w:p w:rsidR="00F86328" w:rsidRPr="001679C3" w:rsidRDefault="00F86328" w:rsidP="00F863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На стр. 59 авт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оры заявляют: «В план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е нашей работы нам интер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есно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отвлеченное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изуч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ние русской книжной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торговли, а иссл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дование вопроса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йствии книж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ной торговли на ли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ратур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ый ряд».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вопреки этой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декларации, вопр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мобилизованном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материалу, вразрез с общей установкой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B0EEB">
        <w:rPr>
          <w:rFonts w:ascii="Times New Roman" w:eastAsia="Calibri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ги, поскольку она выражена в самом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заглави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ее, авторы с упрямством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тчиков твердят формалистск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ие з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а тему об авто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ности «литера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ряда». </w:t>
      </w:r>
      <w:proofErr w:type="gramStart"/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Оказывается, Карамзи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«при изда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нии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альма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наха...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рассчи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тывал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рынок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преследова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коммерческих целей, а выполнял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историческое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(?), </w:t>
      </w:r>
      <w:r w:rsidRPr="00A23B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продиктованное ростом лирических жанров в русской поэзии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»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тр. 190.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Курсив везде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наш. – 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. П.). Усп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ех бес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тужеворылеевской «Поляр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ой звезды»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объ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ясняется тем, что «как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в это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время определ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лась 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нция(?) создания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русской прозы, и потому «Полярн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ая звезда» (включившая в себя эту прозу) попала в полосу литератур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ного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взимания» (стр. 194).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стр. 207–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208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авторы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согласны с утверждением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еверной пчелы»,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что «падение аль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ов всецело обусловлено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спекулятивной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деятельностью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их издателей».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«Здесь были, – возражают они, –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другие причины, чисто </w:t>
      </w:r>
      <w:r w:rsidRPr="00A23B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литературного порядка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. В 30-х годах XIX 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произошел </w:t>
      </w:r>
      <w:r w:rsidRPr="00A23B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отлив поэтической волны. Движущие центры литературы переместились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86328" w:rsidRPr="001679C3" w:rsidRDefault="00F86328" w:rsidP="00F863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«автономности» литературного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>ряда один шаг до утверждения 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примата.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стр. 346 кризис книжной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торговли начала 40-х годов объ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>ясняется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>главным образом возросшей ролью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>толст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ого журнала, причем это обстоя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тельство трактуется, как </w:t>
      </w:r>
      <w:r w:rsidRPr="00A23B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«своеобразное воздействие литературной формы (журнала) на экономический ряд»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>. Эта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историко-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>литературная метафизика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вполне естественна для авторов-форма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>листо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в, но вводить ее в книгу о «Сло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ости и </w:t>
      </w:r>
      <w:r w:rsidRPr="00A23B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коммерции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>», да еще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>вопреки ясно выражен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ному собственн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>ому намере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ию вывести первую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>последне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й – 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>по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ньшей </w:t>
      </w:r>
      <w:proofErr w:type="gramStart"/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>мере</w:t>
      </w:r>
      <w:proofErr w:type="gramEnd"/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1679C3">
        <w:rPr>
          <w:rFonts w:ascii="Times New Roman" w:eastAsia="Calibri" w:hAnsi="Times New Roman" w:cs="Times New Roman"/>
          <w:color w:val="000000"/>
          <w:sz w:val="28"/>
          <w:szCs w:val="28"/>
        </w:rPr>
        <w:t>но.</w:t>
      </w:r>
    </w:p>
    <w:p w:rsidR="00F86328" w:rsidRPr="00204710" w:rsidRDefault="00F86328" w:rsidP="00F863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Невольно является мысль,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то 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вто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ры хотели просто спекульнуть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марксистски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звучащим заглавием, 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м более что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ига вообще </w:t>
      </w:r>
      <w:proofErr w:type="gramStart"/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халтур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proofErr w:type="gramEnd"/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. Авторы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имели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еосторож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ость привести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стр. 284 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есто из Шевырева, являющееся для них 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уб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йствен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ым. Сетуя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по поводу комм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рческого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характера современной 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ему лит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ратур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 продукции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выводя из условий 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орара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самый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тиль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ее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, Шевыр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в писал: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уда девалась зав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краткость, 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кото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рой проповед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Гораций?.. Посмо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три, как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аш писат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 то, что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можно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сказать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одним словом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, выража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 пред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нием, а 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дложени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...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вытягивает в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длинный предлинный период, период – в убористую страницу, страницу – 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в огром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ый  лист печа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тный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… 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м тай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а вс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того? B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м,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па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чат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листа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сть 200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или 300 рублей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. 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слова – деньги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слог, чем груз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ее, том выгод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нее.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такого слог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растет статья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толстеют листы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ги, вздуваетс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самая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ига, 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калач у пекаря... Изви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и, что 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сравн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ние пахнет дымом пекари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оно вполне 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выражает мы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ль мою». Это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в бровь, а прямо в глаз нашим авторам.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При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имательном просмотре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их книги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получается впечатление, что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главной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задачей авторов было не решение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тавленной проблемы, а стремление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«сделать» в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о что бы то ни стало книгу,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>при том</w:t>
      </w:r>
      <w:proofErr w:type="gramEnd"/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23B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толстую</w:t>
      </w:r>
      <w:r w:rsidRPr="002047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книгу.</w:t>
      </w:r>
    </w:p>
    <w:p w:rsidR="00F86328" w:rsidRPr="0086369B" w:rsidRDefault="00F86328" w:rsidP="00F863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самом деле: история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книжной лав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ки Смирдина, долженствовавшая, согла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сно подзаголовку, составить цен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траль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ное ядро книги, отодвинута в са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мый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конец ее, занимая три последних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главы (из десяти). Остальные гла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видно, должны служить «рассредо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точению» Смирдина, о чем говорится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предисловии, т. е. отысканию его пред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шественников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предыдущую эпоху.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Кое-что в этом направлении сдела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подчерк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товарный характер лу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бочной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литературы XVIII </w:t>
      </w:r>
      <w:proofErr w:type="gramStart"/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</w:t>
      </w:r>
      <w:proofErr w:type="gramStart"/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выяснена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ль академических переводчиков в процессе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фессио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ализации русских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литераторов. Но число страниц,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отве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ое этим вопросам, не превы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50, между тем как все «рассредоточение» заняло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200 страниц с 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им.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Что же там еще? А вот не угод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о ли: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ава IV, посвященная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«академическому переводчику и </w:t>
      </w:r>
      <w:proofErr w:type="gramStart"/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срамному</w:t>
      </w:r>
      <w:proofErr w:type="gramEnd"/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Баркову»,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глава соверше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е увязан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ная с темой книги и включенная в нее с явным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«комм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рческ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им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рас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етом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некий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гвоздь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иги. С темой книги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увязан другой академический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реводч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к, Кондратович, 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ему уде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всего-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навсего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две стра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ницы, – очевидно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виду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епопуляр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ши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рокой публики». Восхит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ежду прочим, объя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ие барковщи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«Эпоха Баркова детерминировала 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нецен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ное творчество тем, что в пе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чати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могли существовать только опре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деленные лирические жанры.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как Барко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не находил пути в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чать,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начал писать стихи, которые вообще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могут быть напечатаны,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стихи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предназначенные для распространения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быту» (стр. 143). Если так, 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совершенно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непонятно, почему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е сд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лался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порнографом вышеупомянутый Кондратович или другой литературный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удачник из того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же сословия казенных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переводчиков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некий Золотницкий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148).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Любопытно также это представ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ление о быте и бытовой поэзии,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как о чем-то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сплошь похаб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м: «Нецен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урные стихи Баркова представляют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собой крайнее выражение бытовой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поэзии –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поэзии, установленной </w:t>
      </w:r>
      <w:r w:rsidRPr="0086369B">
        <w:rPr>
          <w:rFonts w:ascii="Times New Roman" w:eastAsia="Calibri" w:hAnsi="Times New Roman" w:cs="Times New Roman"/>
          <w:color w:val="000000"/>
          <w:sz w:val="28"/>
          <w:szCs w:val="28"/>
        </w:rPr>
        <w:t>на быт» (стр. 142).</w:t>
      </w:r>
    </w:p>
    <w:p w:rsidR="00F86328" w:rsidRPr="00485908" w:rsidRDefault="00F86328" w:rsidP="00F863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VII (Эволюция альманахов) –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чисто «академический» очерк, сос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тавле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нный в полном отрыве от какой-либо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«ко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ммерции» и годный скорее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ли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тературной энциклопедии, если бы 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был так формалистски специфи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чен. </w:t>
      </w:r>
      <w:proofErr w:type="gramStart"/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(«Мелкие стиховые жанры,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диалектическ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сменившие высокую оду,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поднялись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быта в литерат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уру и по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требовали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своей канонизации».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Интересно, – </w:t>
      </w:r>
      <w:r w:rsidRPr="00A23BA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из какого быта?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Прилич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ного или неприличного?).</w:t>
      </w:r>
      <w:proofErr w:type="gramEnd"/>
    </w:p>
    <w:p w:rsidR="00F86328" w:rsidRDefault="00F86328" w:rsidP="00F86328">
      <w:pPr>
        <w:spacing w:after="0" w:line="360" w:lineRule="auto"/>
        <w:ind w:left="7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Главы I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и V, посвящен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книжно-рыночным отношениям досмирдин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кой эпохи, говорят по-разному об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одном и том же. Так,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о 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тературном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гонораре говорится в трех разн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ых ме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стах: очевидно, авторы складчинной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книги так спешили с ее выпуск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м,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даже не договорились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как следует,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чем писать. В конце II гл.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страницах сообщаются общеизвест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сведения о просветительной дея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тельности Новикова, служащие 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к заполнению пространства, так как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конце очерка о Новикове автор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главы прямо говорит: «Лубочн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ая лит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ратура,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пользовавшаяся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пехом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у купеческого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и меща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ского читателя, не только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издавалась Новиковым,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о он боролся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ней. Поэтому Смирдин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е является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продолжателем Новикова» (стр. 90).</w:t>
      </w:r>
    </w:p>
    <w:p w:rsidR="00F86328" w:rsidRDefault="00F86328" w:rsidP="00F86328">
      <w:pPr>
        <w:spacing w:after="0" w:line="360" w:lineRule="auto"/>
        <w:ind w:left="7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А чтобы читателю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очень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скучно, его время от времени угощают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зными острыми вещами,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 роде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ного памфлета Воейкова «Дом су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масшедших» и его же «Парнасского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адрес-календаря», совершенно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кстат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помещ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нных в 1-й главе, носящей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заглавие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: «Литературный рынок 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Смирдина и лубоч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ая литература».</w:t>
      </w:r>
    </w:p>
    <w:p w:rsidR="00F86328" w:rsidRDefault="00F86328" w:rsidP="00F86328">
      <w:pPr>
        <w:spacing w:after="0" w:line="360" w:lineRule="auto"/>
        <w:ind w:left="7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Что касается изложения, то шевы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ревский упрек в употреблении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длинных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предлин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ых периодов» к нашим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авторам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неприменим. Они пишут ко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роткими, лапидарными фразами, «под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кловского», но у них есть другое «стилистич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еское» средство для утолщ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ения книги: почти каждое предложе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ние они начинают с красной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строки.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Они, кон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чно, могут ссылаться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на 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обходимость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«графически-интонацион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ного выделени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я» синтаксических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единиц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читателю читать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эту рублен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ую прозу так, же трудно, как если бы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красных строк совсем не было: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зло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упо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требление красной строкой равно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сильно упразднению ее,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том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дру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 случае читателю приходится са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мому производить логическое чле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нение текста.</w:t>
      </w:r>
    </w:p>
    <w:p w:rsidR="00F86328" w:rsidRDefault="00F86328" w:rsidP="00F86328">
      <w:pPr>
        <w:spacing w:after="0" w:line="360" w:lineRule="auto"/>
        <w:ind w:left="7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Когда-то противники твердого знака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высчитывали, наск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олько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этот лишний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фический знак утолщал книгу. Ду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мается, что манера начинать каждое предложение с красной строки в этом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смысле гораздо действительн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е.</w:t>
      </w:r>
    </w:p>
    <w:p w:rsidR="00F86328" w:rsidRDefault="00F86328" w:rsidP="00F86328">
      <w:pPr>
        <w:spacing w:after="0" w:line="360" w:lineRule="auto"/>
        <w:ind w:left="79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Книга имеет довольно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изящную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внешность, в ней дюжина недурных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репродукций, 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тем более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хочется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предостеречь от нее шир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окого читате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ля, особенно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такого, для которого пла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тить 3 рубля за виньетку и картин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ки –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накладно. Редактура Шкловского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и Эйхенбаума, вероятно, мн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мая, или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на крайне небреж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корее всего,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лидеры формализма дали свои имена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рекламы,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едаром авторы книги так часто и с таким пи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ететом ссы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лаются </w:t>
      </w:r>
      <w:r w:rsidR="00FB425D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на них, особенно на первого,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чем всякий раз, н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е ограничиваясь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инициалами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выписывают имя отче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ство «м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етра» полностью.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это: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BE3D34">
        <w:rPr>
          <w:rFonts w:ascii="Times New Roman" w:eastAsia="Calibri" w:hAnsi="Times New Roman" w:cs="Times New Roman"/>
          <w:color w:val="000000"/>
          <w:sz w:val="28"/>
          <w:szCs w:val="28"/>
        </w:rPr>
        <w:t>чтительность или... стремление и ту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 выгнать лишнюю страницу?</w:t>
      </w:r>
    </w:p>
    <w:p w:rsidR="00F86328" w:rsidRPr="0086369B" w:rsidRDefault="00F86328" w:rsidP="00F86328">
      <w:pPr>
        <w:spacing w:after="0" w:line="360" w:lineRule="auto"/>
        <w:ind w:left="79" w:firstLine="709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86369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Н. Прянишников</w:t>
      </w:r>
    </w:p>
    <w:sectPr w:rsidR="00F86328" w:rsidRPr="0086369B" w:rsidSect="00FB425D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F86328"/>
    <w:rsid w:val="000052C2"/>
    <w:rsid w:val="000C50DC"/>
    <w:rsid w:val="005514D5"/>
    <w:rsid w:val="00F86328"/>
    <w:rsid w:val="00FB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1374</Words>
  <Characters>7834</Characters>
  <Application>Microsoft Office Word</Application>
  <DocSecurity>0</DocSecurity>
  <Lines>65</Lines>
  <Paragraphs>18</Paragraphs>
  <ScaleCrop>false</ScaleCrop>
  <Company>ОУНБ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5</cp:revision>
  <dcterms:created xsi:type="dcterms:W3CDTF">2025-02-12T10:16:00Z</dcterms:created>
  <dcterms:modified xsi:type="dcterms:W3CDTF">2025-02-12T11:03:00Z</dcterms:modified>
</cp:coreProperties>
</file>