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8C" w:rsidRPr="00C77B01" w:rsidRDefault="002C6C8C" w:rsidP="002C6C8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7B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 должной требовательности</w:t>
      </w:r>
      <w:r>
        <w:rPr>
          <w:rStyle w:val="a5"/>
          <w:rFonts w:ascii="Times New Roman" w:eastAsia="Calibri" w:hAnsi="Times New Roman" w:cs="Times New Roman"/>
          <w:b/>
          <w:color w:val="000000"/>
          <w:sz w:val="28"/>
          <w:szCs w:val="28"/>
        </w:rPr>
        <w:footnoteReference w:id="2"/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Отм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ечая 75-летие со дня смерти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И. С. Тургенева, Учпедгиз издал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пособия для учителя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рник статей о творчестве писате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Всех статей семнадцать, принад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лежат они перу семнадцати авторов.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сборнику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приложен на шести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страницах «Указатель важнейшей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тературы о жизни и творчестве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 С.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Тургенева», содержащий около ста наз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аний.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На высоком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итературоведческом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уровне и вместе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тем живо,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вооду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шевлением написана общая статья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Тургенев –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великий русский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писатель-реалист» (автор С. Петров).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Несмотря на сжатую форму изложе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ния, автору удалось хорошо сочетать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общую характеристику творчест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Тургенева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 разных его граня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кратким,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содержательным анали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отдельных произведений, их про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лематики и основных образов. От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мечая органическую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связь творчест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ва Тургенева с жизнью передового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ского общества на разных ее эта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пах, автор рассматривает его 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 тесном взаимодействии с твор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чест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 других корифеев русской клас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сической литературы.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олько, что эта общая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статья о Тургеневе, которой следовало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служить как бы увертюрой к сборнику, содержит ряд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противоречащих другим работам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сборника. Так, касаясь «Дворянского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гнезда», автор статьи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справедливо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амечает, что героиня романа «вся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проникнута «чувством долга», 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вопрос об ответственности че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ловека перед себе подобными,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оворило о пробуждении нравствен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сознания в среде русской женск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молодежи» (стр. 529). В специ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альной же статье о «Дворянском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гнезде» (автор А. Захар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ин) читаем,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Лаврецкий и Лиза «терпят мо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ьный крах»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(стр. 243) и что Тургенев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«осудил (?!) своих героев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то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они не смогли завоевать се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мейное счастье» (стр. 223). Подобные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«неувязки» тем более странны,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сборник вышел, как обозначено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титульном листе, «под общей ре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акцией С. М. Петрова». Как пока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жет дальнейшее ознакомление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рником, эта «общая редакция» бы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ла, по-видимому, чисто формальной.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Хорошим дополнением к общей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стать</w:t>
      </w:r>
      <w:r>
        <w:rPr>
          <w:rFonts w:ascii="Times New Roman" w:eastAsia="Calibri" w:hAnsi="Times New Roman" w:cs="Times New Roman"/>
          <w:color w:val="000000"/>
          <w:sz w:val="28"/>
        </w:rPr>
        <w:t>е о Тургеневе является интересн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ая (одна из лучших в сборнике)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статья о его драматургии (автор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E.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Аксенова). </w:t>
      </w:r>
      <w:r w:rsidR="00DC6B59">
        <w:rPr>
          <w:rFonts w:ascii="Times New Roman" w:eastAsia="Calibri" w:hAnsi="Times New Roman" w:cs="Times New Roman"/>
          <w:color w:val="000000"/>
          <w:sz w:val="28"/>
        </w:rPr>
        <w:br/>
      </w:r>
      <w:r>
        <w:rPr>
          <w:rFonts w:ascii="Times New Roman" w:eastAsia="Calibri" w:hAnsi="Times New Roman" w:cs="Times New Roman"/>
          <w:color w:val="000000"/>
          <w:sz w:val="28"/>
        </w:rPr>
        <w:t>В результате обстоя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тельного разбора тургеневских пьес,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сделанного в живой и увлекательной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форме, автор приходит к хорошо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о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 xml:space="preserve">боснованному выводу, что </w:t>
      </w:r>
      <w:r w:rsidR="00DC6B59">
        <w:rPr>
          <w:rFonts w:ascii="Times New Roman" w:eastAsia="Calibri" w:hAnsi="Times New Roman" w:cs="Times New Roman"/>
          <w:color w:val="000000"/>
          <w:sz w:val="28"/>
        </w:rPr>
        <w:br/>
      </w:r>
      <w:r w:rsidRPr="0044646F">
        <w:rPr>
          <w:rFonts w:ascii="Times New Roman" w:eastAsia="Calibri" w:hAnsi="Times New Roman" w:cs="Times New Roman"/>
          <w:color w:val="000000"/>
          <w:sz w:val="28"/>
        </w:rPr>
        <w:t>«в созда</w:t>
      </w:r>
      <w:r>
        <w:rPr>
          <w:rFonts w:ascii="Times New Roman" w:eastAsia="Calibri" w:hAnsi="Times New Roman" w:cs="Times New Roman"/>
          <w:color w:val="000000"/>
          <w:sz w:val="28"/>
        </w:rPr>
        <w:t>нии социально-бытовых драматиче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ских произведений» Тургенев явился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предшественником Островского, но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«главное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завоевание тургеневского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театра –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эт</w:t>
      </w:r>
      <w:r>
        <w:rPr>
          <w:rFonts w:ascii="Times New Roman" w:eastAsia="Calibri" w:hAnsi="Times New Roman" w:cs="Times New Roman"/>
          <w:color w:val="000000"/>
          <w:sz w:val="28"/>
        </w:rPr>
        <w:t>о пьесы социально-психо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</w:rPr>
        <w:t>огические», подготовившие драма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тургию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Чехова. Особый интерес представляют те страницы (174 –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182)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статьи, где автор возражает против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излишней – по традиции – драмати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</w:rPr>
        <w:t>ации образа Натальи Петровны Ис</w:t>
      </w:r>
      <w:r w:rsidRPr="0044646F">
        <w:rPr>
          <w:rFonts w:ascii="Times New Roman" w:eastAsia="Calibri" w:hAnsi="Times New Roman" w:cs="Times New Roman"/>
          <w:color w:val="000000"/>
          <w:sz w:val="28"/>
        </w:rPr>
        <w:t>лаевой («Месяц в деревне»).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Статья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Курляндской («Эстети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взгляды И. С. Тургенева») содержательна и насыщена высказы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ваниями Тургенева, выражающими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литературное credo. Но она стра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дает некоторой расплывчатостью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изложении, повторениями. Например,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на стр. 371 приведены строки 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нева о том, что надо «стараться не только уловлять жизнь 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всех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проявлениях, но и понимать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нимать те законы, по которым она дви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жется и которые не всегда высту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пают наружу». И те же строки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вторной ссылкой на тот же источ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ник) приведены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на стр. 378. Другой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недостаток статьи – странные оборо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 речи, например: «Тургенев </w:t>
      </w:r>
      <w:r w:rsidRPr="004C2D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дава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причинную связь между конкретной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общественной средой и человеком»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(стр. 375); «Тургенев критически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</w:t>
      </w:r>
      <w:r w:rsidRPr="004C2D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давал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идеалистические увлечения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Рудина и всячески поощрял (?)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обращен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к реальной, действитель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ной жизни» (стр. 370).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Существенные возражения вызы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статья П. Пустовойта «Сатирические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тенденции в творчестве И. 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Тургенева». Автор утверждает,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сатирическое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дарование Тургенева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оявляется преимущественно в соз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дании портретов героев и раскрыти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трастной этим портретам их сущн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ости» (стр.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519).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демонстрирует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ся эта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контрастность между «портретом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» и «сущностью» почему-то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образе музыканта Лемма из «Дво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рян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ского гнезда», причем сам же ав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говаривается,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«ничего сати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рического в портрете Лемма нет»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(стр. 509). Спрашивается: зачем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привл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екать этот образ?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 недоразумению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попал в эту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статью и образ Петушков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менной повести Тургенева), напо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минающий гоголевского Башмачкина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смиренностью и косноязы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м, как правильно замечает П. Пу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стовойт,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но и драматиз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ом своей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судьбы. Автор же статьи не видит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Петушкове ничего, кроме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комиче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ского, и смело зачисляет его в разряд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сатирических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(стр. 495 –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496).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Маловразумительно в статье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сопоставление Тургенева-сатирика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алтыковым-Щедриным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«Органиче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ски сливаясь с основной лирической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стихией, сатира в романах и повестях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Тургенева, естественно, испытывала на себе сильное влияние последней.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Этим она отличается от «чистой» са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тиры Салтыкова-Щедрина, лишенной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значительной (?) примеси лирики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тому более свободной и самостоя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тельной...» (стр. 494). Насколько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жно понять, автор статьи отказы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вает Салтыкову-Щедрину в лири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ме (или в достаточном лиризме). Но еще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Ювенал 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«Facit indignato versum» («Порождается стих возмущеньем»). Да и в руководствах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теории словесности сатира всегда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носилась не к эпосу, а к лирике,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что это еще вопрос, кто «лиричнее»: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оманист и художественный летописец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Тургенев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русский Ювенал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прозе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Содержательная статья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Тургенев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Чернышевский» (автор М. Никола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ев),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к сожалению, не отличается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тщательностью и точностью, которые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 желательны в подобного ро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информационных работах. Напри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мер, на стр.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59 автор пишет: «Появление Базарова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демократическая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лодежь встретила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по-разному. Не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иязнь к нему особенно ярко выра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была в статье Антоновича «Ас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дей нашего времени», которая по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явилась в журнале не без согласия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Чернышевского. Резкое суждение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роман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было высказано и Чернышевским. Тургенев, по его мнению, напе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 свое произведение «из литера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турной суетности», не понимая,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«печатает 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нь» (следует ссыл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 на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Полн. собр. соч. Чернышевского,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т. XIV, стр. 482). Мы взяли на себя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труд проверить основательность этой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лки. Слова о «литературной сует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ности» Тургенева и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 печа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тании «дряни» взяты из письма Чернышев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(от 3 июня 1863 года)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к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молодой родственнице Е. Пыпиной,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котором он не менее сурово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выра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жается и о себе самом («из того,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я писал и печатал, нет ни одной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страницы, которою я не пренебрегал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бы»). О романе же «Отцы и дети»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письме нет и помину.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Открывается сборник циклом ста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тей о «Записках охотника». Первая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них (автор А. Бабореко) дает общую и в основном правильную ха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рактеристику знаменитой книги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Тургенева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хотя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оценках некоторых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рсонажей с ней трудно согласить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К тому же эти оценки расходят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с следующей далее статьей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Γo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лубкова «Идейно-художественное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единство «Записок охотника».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Бабореко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относит Чертопханова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тем помещикам, которых Тургенев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изобразил «с глубоким сарказмом»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(стр.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14), а незадачливого героя рас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«Гамлет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Щигровского уезда»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считает «пустым и ничтожным» че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ловеком (стр. 16). Сосед же Бабореко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сборнику расценивает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тех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 ге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роев иначе: о первом он пишет,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 нем «самым причудливым образом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сочетались душевное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благородство,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доброта и великодушие с дворян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ским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ором, заносчивостью и сумасброд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ством»; а о втором, что это «человек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ысокой культуры, оказавшийся со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ершенно неприспособленным к жизни, лишним в кругу богатых поме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щик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 и сановников, которых он пре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рал, но от которых не мог оторв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аться в силу своего происхождения,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воспитания и бесхарактерности»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(стр. 23).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Думается, что трактовка назван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ных 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сонажей в статье B. Голуб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кова более справедлива, но в целом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статья эта не оправдывает своего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ответственного заголовка. Автор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шет не об идейно-художественном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единстве, а раздельно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об идейном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художественном единствах «Записок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охотника». Идейное единство «З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апи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сок охотника» он правильно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видит в их антикрепостнической направлен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ти. Что же касается единства ху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дожественного, то он усматривает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манере «живой беседы с чита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телем» (стр. 25) и в жанре «рассказа,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близкого к очерку» (стр. 28). Но вед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подобная форма применима к любому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 иной идейной на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вленностью, так что два «единст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ва», выявленные автором, остались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слитыми.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изок уровень статьи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языке и стиле «Записок охотника»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(автор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Старенков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).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льшая часть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2DFC">
        <w:rPr>
          <w:rFonts w:ascii="Times New Roman" w:eastAsia="Calibri" w:hAnsi="Times New Roman" w:cs="Times New Roman"/>
          <w:color w:val="000000"/>
          <w:sz w:val="28"/>
          <w:szCs w:val="28"/>
        </w:rPr>
        <w:t>этой пространной статьи посвящена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явлению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языке «Записок охотни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 именно в авторской речи) ди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алектизмов, просторечных слов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элементов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народнопоэтической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льклорной) речи, причем эти лек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ические рубрики понимаются автором статьи довольно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своеобразно.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Так, в первую из названных рубрик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он включает и народную топонимику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(Бежи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луг, Малиновая вода), а так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же прозвища (Хорь, Бирюк, Моргач),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во вторую – такие вполне литера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турные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лова и выражения, как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обстроился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ладил, поигрывал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лайке,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переваливался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боку на бок,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сутуловат,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разинул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(стр.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44 – 45). В общем полная соли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дарность с гоголевскими дамами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«Мертвых душ», которые отличались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«необыкновенною осторожностью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приличием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словах и выражениях»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разговора которых, «чтоб еще бо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облагородить русский язык, по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ловина почти слов была выброшена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вовсе…»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Курьезно замечание М. Старенко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о том, что при изображении жи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вотных и птиц автор «Записок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охотника» «с помощью просторечий-гла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голов... передает динамичность (?)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действий» (стр. 45). Иллюстрируется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это наблюдение таким примеро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из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ьгова»: «...выстрелы дружно paз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давались вслед за ними (утками),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село было видеть, как эти кургу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зые птицы 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кувыркались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воздухе,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тяжело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шлепались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об воду» (оба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«просторечных» глагола, выражаю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щие «динамичность» убитых уток,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подчеркнуты М. Старенковым).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касается народнопоэтической речи,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элементы ее автор статьи,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мудрствуя лукаво, усматривает в тех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пословицах и поговорках, 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же песенных текстах, которые нередко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встречаются на страницах «Записок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охотника», как и во всяком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ругом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итературно-художественном произ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ведении, особенно из жизни народа.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же остальное, что есть в проз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е «Записок охотника» («наряду» (?)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означенными рубриками, как выра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жается М. Старенков), он назыв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обственно-изобразительными сред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ствами» (стр. 50), разумея под ними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главным образом сравнени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и под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разделяя последние на восемь групп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(или «случаев»). Чтобы иметь полное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едставление о стиле и логике ав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тора статьи, приведем некоторые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рубрик этой любопытной классификации (стр. 50 –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51):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«В четвертом случае при помощи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сравнений с птицами и предметами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растительного мира окружающей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природы автор изображает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внешние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людей, а также их психологи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состояния...» Следуют два при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мера,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из которых в одном птицы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представлены... летучей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мышью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Степушки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пребольшие, про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ачные, как у летучей мыши» («Малиновая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вода»).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«В пятом 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учае для изображения внешности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лиц (?), их поведения 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их психологических состояний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черпает материал из наблюдений над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машними животными и птицами...» (Опять?)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«Наконец, в восьмом случае упо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требляются сравнения отвлеченного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арактера, отличающиеся одухотво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ряющим оттенком при изображении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рекрасных и могущественных явле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ний природы».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 вот после этого, с позволения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сказать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«литературоведческого этюда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сборнике идет превосходная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работа о мировом значении «Записок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охотника» (автор М. Алексеев),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которая служит подлинным украшени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ем книги. Это самая крупная работа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сборнике (пять печатных листов),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вряд ли кто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читателей посету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на объем статьи, настолько 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занимательна, несмотря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«сухую»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подчас материю (история тех 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иных переводов «Записок охотника»,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их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опоставление, характеристика за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рубежных изданий Тургенева и проч.).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Особая ценность статьи в том, что,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излагая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историю распространения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«Записок охотника» в разных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странах и влияния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на литературы этих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стран, она вместе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тем много дает 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смысле более глубокого познания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самих «Записок»; здесь приведены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отзывы о «Записках» таких читате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лей, как Мериме, Флобер, Мопассан,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Франс, Роллан, Голсуорси.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Нам остается отозваться еще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статьи о тургеневских романах и опов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ести «Муму». Увы, все они, кром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е квалифицированной статьи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Цейтлина о «Дыме», не заслужи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вают положительной оценки. Одни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них стоят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примерно на таком же уровне, что и статья М. Старенкова;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другие несколько лучше, однако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настолько, чтобы иметь право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опубликование в сборнике с тира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жом в 45 000 экземпляров.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любопытно вот что: если хоро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шие статьи сборника хороши каждая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по-своему, то плохие статьи пло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одинаково, на один манер. Можно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подумать, что авторы их вышли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одной литературоведческой «школы».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О, конечно, они не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ограничиваются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более или менее унылым пересказом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содержания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тургеневских романов.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Они знают, что этого нельзя делать.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ают они и то, что, говоря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 ис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сстве писателя, нельзя ограничи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ваться восторженно-заклинательным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аверениями общего характера, ну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еще «анализ формы» пересказыв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аемых произведений. Но как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делают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категорий, которыми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этом оперируют, раскрывая тургеневскую поэтику, – четыре.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контраст,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пресловутая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динамика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портрет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пейзаж,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причем категории эти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понимаются авторами, весьма упро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щенно.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Так, «контрас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т»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их статьях –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это не только противополо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ность, но и вообще всякое различие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(между персонажами, например).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«Динамика» (иначе динамизм,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динамичность) – это любое движение ко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го-либо или чего-либо во времени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прос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транстве, независимо от силы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темпов этого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движения.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«Портрет» –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это всякое замечание писате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 о внешности персонажа, о выра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жении его лица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данный момент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т. п. Что касается «пейзажа», то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нему относятся не только описания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природы, но и попутные упоминания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 погоде, а также о том, какое было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я года или часть суток.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сборнике не оберешься разного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анекдотов, от которых «было бы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мешн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о, когда бы не было так грустно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». Вот некоторые: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«Лиза характеризуется писателем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 стороны; к внутренним монологам,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психологической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детализации (?)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не прибегает, так как сам был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истом,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переживания героини ча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ще всего окрашены в религиозные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тона» (стр. 246).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Отмечая «светлый лиризм» «Дво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рян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ского гнезда», тот же автор тес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но увязывает этот лиризм с сезоном,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когда происходит действие романа: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Начинается роман описанием свет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лого весеннего дня, клонящегося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вече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ру, затем поэтичность сопутству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ет (?) всем эпизодам, происходящим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тоже летом (завершается действие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наступлением похолоданий), –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эпилоге рассказывается о события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случившихся восемь лет спустя» (стр.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247). Выходит, что в зимнее время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роман Лизы и Лаврецкого вряд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Столкновение Инсарова с пья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компанией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Царицыне, оказывается,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«призвано оттенить его внешнюю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физическую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(?) силу. Сцена строится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 контрасте: худощавый, среднего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роста Инсаров сбрасывает в воду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убого, навязчивого великана-нем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ца»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(стр. 266). Кстати, на предыду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 странице тот же автор отмеча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ет «физическую слабость» Инсарова.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отличие от героев и героинь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угих тургеневских романов «Инса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ров и Елена решают рука об руку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дти до конца своей жизни». Прав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да, осуществлению этого решения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мешала болезнь и смерть Инсаров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ведь болезнь его «мотивирована автором. Инсаров простудился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 хлопот о паспорте для Елены»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(стр. 269).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«Отсутствие глубокой внутренней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 в Кирсанове-старшем прикрывается внешним блеском, изыс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анной одеждой. И напротив, огром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ная духовная сила и воля Базарова,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твердость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рактер (так! – H. П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прикрыты неприглядным длинным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балахоном с кистями» (стр. 325).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менее курьезны попытки линг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ического анализа, на которые от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важиваются некоторые из авторов.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Так, автор статьи об «Отцах и детях»,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характеризуя речь Базарова, пишет: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«Есть в языке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Евгения и ласкатель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уменьшительные слова, как, на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местечко, наследничек, бра</w:t>
      </w:r>
      <w:r w:rsidRPr="00AB77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тец, мужички, песенка, денек,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рые, очевидно, были привиты ему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ой, в которой протекало его дет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(стр. 332). Выходит, что буду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щему нигилисту прививали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 детстве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какое-то сюсюканье, которое так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осталось в его речи. В той же статье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базаровское 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выражение «для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важности» приписано Аркадию Кирс</w:t>
      </w: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>анову (стр. 331).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Приведя то место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повести «Муму»,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где идет речь об отношении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Герасима к Татьяне, автор статьи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этой повести (П. Липатов) пишет: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«Подбор соответствующих глаголо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(«не обращал», «стал посмеиваться»,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«начал заглядываться», «гл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ускал»), каждый из которых выра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определенное душевное состоя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ние, в целом создает впечатление о развитии и нарастании чувства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любви в душе Герасима» (стр. 154).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Сказать, что писатель выражает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что-либо подбором </w:t>
      </w:r>
      <w:r w:rsidRPr="001B6A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соответствующих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голов или существительных, значит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ничего не сказать. Кстати, пытаясь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ализировать язык разбираемой по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вести, автор был не очень озабочен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языком собственной статьи, допустив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неправильный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оборот речи даже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приведенной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цитате («впечатление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о развитии и нарастании чувства»).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Низкий уровень упомянутых ста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тей, как правило, сочетается с весьма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эрудированным» их видом. Особен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но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личается на этот счет автор ста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«Нови», он же редактор-соста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витель И. Трофимов, обставивший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очень солидным на вид аппаратом.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Дело доходит даже до излишеств.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Так, беглое упоминание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литератора князя Мещерского современники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называли «старым 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м»,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сопровождается ученой ссылкой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«Рукописный отдел Государственной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библиотеки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имени В. И. Ленина,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фонд 120, п. 8, ед. хр. 10»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(стр. 446).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статье И. Трофимова много цит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ат из писем Тургенева. Отдельные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письма, на которые ссылается автор,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есть в 12-м томе последнего издания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сочинений Тургенева (Гослитиздат),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равно как и в 11-м томе издания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1949 года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(изд. «Правды»). Однако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тор статьи о «Нови» ссылается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одно из этих изданий, то на дру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гое,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на первое собрание тургенев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ских писем (1884),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то на издание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«М. Стасюлевич и его современники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в их переписке» и т. д.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Подобный разнобой в ссылках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источн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ики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лишь затруднить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проверку их правильности, а между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тем при проверке обнаруживаются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е совсем благовидные вещи. Так,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стр. 442 своей статьи И. Трофимов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пишет, что автор «Нови» «уловил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утил в народной массе какое-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подспудное брожение,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все неясное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неопределенное, которое двигается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(?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 внутренностях». Следует ссыл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ка на письмо Тургенева к Каве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(декабрь 1876 года), но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том Тургенев пишет о себе и крестьянах совсем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другое, а именно: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«...я не довольно тесно и близко знаю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их теперь, чтобы быть в состоянии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овить то еще неясное и неопреде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ое, которое двигается в их внут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ренностях...»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Несколько слов о том, как плохо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держан учебно-педагогический ха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рактер сборника. Например, в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статье о «Нови», приводя различные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отзывы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об этом 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ане, И. Трофи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мов, между прочим, сообщает: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Сурово осудил «Новь» Щедрин. Он на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звал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эту книгу «водевилем с переодев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анием»...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Сатирик запальчиво на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 «Новь» романом «в высшей сте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пени противным и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неопрятным». «Это не роман, а бесконечная, случайная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болтовня» и т. п.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(стр. 467). Думает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ся, что если уж приводить подобные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отзывы (да еще столь авторитетн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ца), необходимо было как-то про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комментировать их. 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никаких ком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ментариев по этому поводу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дает, и можно себе представить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смущение иного учителя-словесника,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он, читая статью, дойдет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подобных сообщений.</w:t>
      </w:r>
    </w:p>
    <w:p w:rsidR="002C6C8C" w:rsidRDefault="002C6C8C" w:rsidP="002C6C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Итак, статьи в сборнике о твор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тве Тургенева крайне неравноцен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ны.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В составе книги неско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лько хоро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ших и даже отличных работ, две-три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посредственных, но не бесполез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ных для читателя. Однако больше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</w:t>
      </w:r>
      <w:r w:rsidR="00DC6B5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на половину своего состава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орник заполнен недоброкачествен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ным материалом. И этот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редлагается вниманию многотысяч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ной армии учителей-сл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овесников, которая ежегодно имеет дело с мил</w:t>
      </w:r>
      <w:r w:rsidRPr="001B6A0F">
        <w:rPr>
          <w:rFonts w:ascii="Times New Roman" w:eastAsia="Calibri" w:hAnsi="Times New Roman" w:cs="Times New Roman"/>
          <w:color w:val="000000"/>
          <w:sz w:val="28"/>
          <w:szCs w:val="28"/>
        </w:rPr>
        <w:t>лионами советских школьников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6B59" w:rsidRDefault="00DC6B59" w:rsidP="002C6C8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C6C8C" w:rsidRPr="00080537" w:rsidRDefault="002C6C8C" w:rsidP="002C6C8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8053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Н. ПРЯНИШНИКОВ</w:t>
      </w:r>
    </w:p>
    <w:p w:rsidR="00072207" w:rsidRDefault="002C6C8C" w:rsidP="00DC6B59">
      <w:pPr>
        <w:jc w:val="right"/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</w:t>
      </w:r>
      <w:r w:rsidRPr="005D362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 Оренбург</w:t>
      </w:r>
    </w:p>
    <w:sectPr w:rsidR="00072207" w:rsidSect="00DC6B5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39" w:rsidRDefault="00C50939" w:rsidP="002C6C8C">
      <w:pPr>
        <w:spacing w:after="0" w:line="240" w:lineRule="auto"/>
      </w:pPr>
      <w:r>
        <w:separator/>
      </w:r>
    </w:p>
  </w:endnote>
  <w:endnote w:type="continuationSeparator" w:id="1">
    <w:p w:rsidR="00C50939" w:rsidRDefault="00C50939" w:rsidP="002C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39" w:rsidRDefault="00C50939" w:rsidP="002C6C8C">
      <w:pPr>
        <w:spacing w:after="0" w:line="240" w:lineRule="auto"/>
      </w:pPr>
      <w:r>
        <w:separator/>
      </w:r>
    </w:p>
  </w:footnote>
  <w:footnote w:type="continuationSeparator" w:id="1">
    <w:p w:rsidR="00C50939" w:rsidRDefault="00C50939" w:rsidP="002C6C8C">
      <w:pPr>
        <w:spacing w:after="0" w:line="240" w:lineRule="auto"/>
      </w:pPr>
      <w:r>
        <w:continuationSeparator/>
      </w:r>
    </w:p>
  </w:footnote>
  <w:footnote w:id="2">
    <w:p w:rsidR="002C6C8C" w:rsidRPr="00C77B01" w:rsidRDefault="002C6C8C" w:rsidP="002C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77B0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77B01">
        <w:rPr>
          <w:rFonts w:ascii="Times New Roman" w:hAnsi="Times New Roman" w:cs="Times New Roman"/>
          <w:sz w:val="24"/>
          <w:szCs w:val="24"/>
        </w:rPr>
        <w:t xml:space="preserve"> «Творччество И. С. Тургенева», Учпедгиз, М. 1959, 575 стр.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C8C"/>
    <w:rsid w:val="00072207"/>
    <w:rsid w:val="002C6C8C"/>
    <w:rsid w:val="00860DCD"/>
    <w:rsid w:val="00C50939"/>
    <w:rsid w:val="00DC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6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6C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C6C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2878</Words>
  <Characters>16410</Characters>
  <Application>Microsoft Office Word</Application>
  <DocSecurity>0</DocSecurity>
  <Lines>136</Lines>
  <Paragraphs>38</Paragraphs>
  <ScaleCrop>false</ScaleCrop>
  <Company>ОУНБ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2025-02-12T10:52:00Z</dcterms:created>
  <dcterms:modified xsi:type="dcterms:W3CDTF">2025-02-12T12:36:00Z</dcterms:modified>
</cp:coreProperties>
</file>